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7B3" w:rsidRPr="001E17B3" w:rsidRDefault="001E17B3" w:rsidP="001E17B3">
      <w:pPr>
        <w:spacing w:after="144" w:line="242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ru-RU"/>
        </w:rPr>
        <w:t>Письмо&gt; ФНС России от 24.06.2019 N БС-4-11/12211 "Об обложении страховыми взносами"</w:t>
      </w:r>
    </w:p>
    <w:p w:rsidR="001E17B3" w:rsidRPr="001E17B3" w:rsidRDefault="001E17B3" w:rsidP="001E17B3">
      <w:pPr>
        <w:spacing w:after="0" w:line="29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1E17B3" w:rsidRPr="001E17B3" w:rsidRDefault="001E17B3" w:rsidP="001E17B3">
      <w:pPr>
        <w:spacing w:after="0" w:line="36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0" w:name="dst100001"/>
      <w:bookmarkEnd w:id="0"/>
      <w:r w:rsidRPr="001E17B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МИНИСТЕРСТВО ФИНАНСОВ РОССИЙСКОЙ ФЕДЕРАЦИИ</w:t>
      </w:r>
    </w:p>
    <w:p w:rsidR="001E17B3" w:rsidRPr="001E17B3" w:rsidRDefault="001E17B3" w:rsidP="001E17B3">
      <w:pPr>
        <w:spacing w:after="0" w:line="360" w:lineRule="atLeast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1E17B3" w:rsidRPr="001E17B3" w:rsidRDefault="001E17B3" w:rsidP="001E17B3">
      <w:pPr>
        <w:spacing w:after="0" w:line="36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1" w:name="dst100002"/>
      <w:bookmarkEnd w:id="1"/>
      <w:r w:rsidRPr="001E17B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ФЕДЕРАЛЬНАЯ НАЛОГОВАЯ СЛУЖБА</w:t>
      </w:r>
    </w:p>
    <w:p w:rsidR="001E17B3" w:rsidRPr="001E17B3" w:rsidRDefault="001E17B3" w:rsidP="001E17B3">
      <w:pPr>
        <w:spacing w:after="0" w:line="360" w:lineRule="atLeast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1E17B3" w:rsidRPr="001E17B3" w:rsidRDefault="001E17B3" w:rsidP="001E17B3">
      <w:pPr>
        <w:spacing w:after="0" w:line="36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2" w:name="dst100003"/>
      <w:bookmarkEnd w:id="2"/>
      <w:r w:rsidRPr="001E17B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ПИСЬМО</w:t>
      </w:r>
    </w:p>
    <w:p w:rsidR="001E17B3" w:rsidRPr="001E17B3" w:rsidRDefault="001E17B3" w:rsidP="001E17B3">
      <w:pPr>
        <w:spacing w:after="0" w:line="36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 24 июня 2019 г. N БС-4-11/12211</w:t>
      </w:r>
    </w:p>
    <w:p w:rsidR="001E17B3" w:rsidRPr="001E17B3" w:rsidRDefault="001E17B3" w:rsidP="001E17B3">
      <w:pPr>
        <w:spacing w:after="0" w:line="360" w:lineRule="atLeast"/>
        <w:jc w:val="both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1E17B3" w:rsidRPr="001E17B3" w:rsidRDefault="001E17B3" w:rsidP="001E17B3">
      <w:pPr>
        <w:spacing w:after="150" w:line="36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3" w:name="dst100004"/>
      <w:bookmarkEnd w:id="3"/>
      <w:r w:rsidRPr="001E17B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ОБ ОБЛОЖЕНИИ СТРАХОВЫМИ ВЗНОСАМИ</w:t>
      </w:r>
    </w:p>
    <w:p w:rsidR="001E17B3" w:rsidRPr="001E17B3" w:rsidRDefault="001E17B3" w:rsidP="001E17B3">
      <w:pPr>
        <w:spacing w:after="0" w:line="29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1E17B3" w:rsidRPr="001E17B3" w:rsidRDefault="001E17B3" w:rsidP="001E17B3">
      <w:pPr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" w:name="dst100005"/>
      <w:bookmarkEnd w:id="4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Федеральная налоговая служба разъясняет порядок исчисления и уплаты страховых взносов физическим лицом, не производящим выплаты и иные вознаграждения физическим лицам и осуществляющим предпринимательскую деятельность, а также одновременно иную деятельность, установленную законодательством Российской Федерации, не являющуюся предпринимательской, сообщает следующее.</w:t>
      </w:r>
    </w:p>
    <w:p w:rsidR="001E17B3" w:rsidRPr="001E17B3" w:rsidRDefault="001E17B3" w:rsidP="001E17B3">
      <w:pPr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5" w:name="dst100006"/>
      <w:bookmarkEnd w:id="5"/>
      <w:proofErr w:type="gramStart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Положениями </w:t>
      </w:r>
      <w:hyperlink r:id="rId5" w:anchor="dst15288" w:history="1">
        <w:r w:rsidRPr="001E17B3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подпункта 1 пункта 1 статьи 430</w:t>
        </w:r>
      </w:hyperlink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Налогового кодекса Российской Федерации (далее - Кодекс) установлен дифференцированный подход к определению размера страховых взносов на обязательное пенсионное страхование для плательщиков, не производящих выплаты и иные вознаграждения физическим лицам, исходя из их дохода (при величине дохода до 300 000 рублей за расчетный период страховые взносы уплачиваются в фиксированном размере, свыше 300 000 рублей - в</w:t>
      </w:r>
      <w:proofErr w:type="gramEnd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фиксированном </w:t>
      </w:r>
      <w:proofErr w:type="gramStart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размере</w:t>
      </w:r>
      <w:proofErr w:type="gramEnd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плюс 1,0 процент суммы дохода, превышающего 300 000 рублей).</w:t>
      </w:r>
    </w:p>
    <w:p w:rsidR="001E17B3" w:rsidRPr="001E17B3" w:rsidRDefault="001E17B3" w:rsidP="001E17B3">
      <w:pPr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6" w:name="dst100007"/>
      <w:bookmarkEnd w:id="6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Страховые взносы на обязательное медицинское страхование плательщики, не производящие выплаты и иные вознаграждения физическим лицам, уплачивают только в фиксированном размере независимо от величины их дохода.</w:t>
      </w:r>
    </w:p>
    <w:p w:rsidR="001E17B3" w:rsidRPr="001E17B3" w:rsidRDefault="001E17B3" w:rsidP="001E17B3">
      <w:pPr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7" w:name="dst100008"/>
      <w:bookmarkEnd w:id="7"/>
      <w:proofErr w:type="gramStart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Поэтому если физическое лицо относится к одной категории, поименованной в </w:t>
      </w:r>
      <w:hyperlink r:id="rId6" w:anchor="dst14001" w:history="1">
        <w:r w:rsidRPr="001E17B3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подпункте 2 пункта 1 статьи 419</w:t>
        </w:r>
      </w:hyperlink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Кодекса (не работодатели), но осуществляет не только предпринимательскую деятельность, но и иную установленную законодательством Российской Федерации деятельность, не являющуюся предпринимательской (например, медиатора, оценщика), то такой плательщик уплачивает страховые взносы в порядке, установленном для данной категории </w:t>
      </w:r>
      <w:hyperlink r:id="rId7" w:anchor="dst13620" w:history="1">
        <w:r w:rsidRPr="001E17B3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статьей 430</w:t>
        </w:r>
      </w:hyperlink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Кодекса.</w:t>
      </w:r>
      <w:proofErr w:type="gramEnd"/>
    </w:p>
    <w:p w:rsidR="001E17B3" w:rsidRPr="001E17B3" w:rsidRDefault="001E17B3" w:rsidP="001E17B3">
      <w:pPr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8" w:name="dst100009"/>
      <w:bookmarkEnd w:id="8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Таким образом, за расчетный период такой плательщик как единый субъект правоотношений, независимо от постановки его на учет в налоговом органе по одному или более основаниям, однократно уплачивает фиксированные платежи по страховым взносам на обязательное пенсионное и медицинское страхование в размерах, установленных </w:t>
      </w:r>
      <w:hyperlink r:id="rId8" w:anchor="dst15287" w:history="1">
        <w:r w:rsidRPr="001E17B3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пунктом 1 статьи 430</w:t>
        </w:r>
      </w:hyperlink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Кодекса. </w:t>
      </w:r>
      <w:proofErr w:type="gramStart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Соответственно, независимо от количества видов осуществляемой деятельности, плательщик страховых взносов доплачивает страховой взнос на свое пенсионное страхование 1,0 процент с суммы совокупного дохода от всех видов осуществляемой деятельности, превышающей 300 000 рублей за расчетный период (но не более восьмикратного фиксированного размера страховых взносов на обязательное </w:t>
      </w:r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пенсионное страхование, установленного </w:t>
      </w:r>
      <w:hyperlink r:id="rId9" w:anchor="dst15289" w:history="1">
        <w:r w:rsidRPr="001E17B3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абзацем вторым подпункта 1 пункта 1 статьи 430</w:t>
        </w:r>
      </w:hyperlink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Кодекса).</w:t>
      </w:r>
      <w:proofErr w:type="gramEnd"/>
    </w:p>
    <w:p w:rsidR="001E17B3" w:rsidRPr="001E17B3" w:rsidRDefault="001E17B3" w:rsidP="001E17B3">
      <w:pPr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9" w:name="dst100010"/>
      <w:bookmarkEnd w:id="9"/>
      <w:proofErr w:type="gramStart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 этом если плательщик в течение расчетного периода снимается с учета в налоговом органе по одному из оснований и уплачивает в соответствии с требованиями </w:t>
      </w:r>
      <w:hyperlink r:id="rId10" w:anchor="dst14012" w:history="1">
        <w:r w:rsidRPr="001E17B3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пункта 5 статьи 432</w:t>
        </w:r>
      </w:hyperlink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Кодекса страховые взносы в фиксированном размере по прекращенной деятельности, но продолжает осуществлять иную предусмотренную </w:t>
      </w:r>
      <w:hyperlink r:id="rId11" w:anchor="dst14001" w:history="1">
        <w:r w:rsidRPr="001E17B3">
          <w:rPr>
            <w:rFonts w:ascii="Arial" w:eastAsia="Times New Roman" w:hAnsi="Arial" w:cs="Arial"/>
            <w:color w:val="666699"/>
            <w:sz w:val="24"/>
            <w:szCs w:val="24"/>
            <w:lang w:eastAsia="ru-RU"/>
          </w:rPr>
          <w:t>подпунктом 2 пункта 1 статьи 419</w:t>
        </w:r>
      </w:hyperlink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Кодекса деятельность, то сумма страховых взносов, подлежащая уплате по итогам расчетного периода</w:t>
      </w:r>
      <w:proofErr w:type="gramEnd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в фиксированном размере, определяется за вычетом суммы страховых взносов в фиксированном размере, уплаченной за период деятельности, прекращенной в расчетном периоде.</w:t>
      </w:r>
    </w:p>
    <w:p w:rsidR="001E17B3" w:rsidRPr="001E17B3" w:rsidRDefault="001E17B3" w:rsidP="001E17B3">
      <w:pPr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0" w:name="dst100011"/>
      <w:bookmarkEnd w:id="10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Указанная позиция согласована с Минфином России.</w:t>
      </w:r>
    </w:p>
    <w:p w:rsidR="001E17B3" w:rsidRPr="001E17B3" w:rsidRDefault="001E17B3" w:rsidP="001E17B3">
      <w:pPr>
        <w:spacing w:after="0" w:line="290" w:lineRule="atLeast"/>
        <w:ind w:firstLine="54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1" w:name="dst100012"/>
      <w:bookmarkEnd w:id="11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Доведите настоящее письмо до территориальных налоговых органов.</w:t>
      </w:r>
    </w:p>
    <w:p w:rsidR="001E17B3" w:rsidRPr="001E17B3" w:rsidRDefault="001E17B3" w:rsidP="001E17B3">
      <w:pPr>
        <w:spacing w:after="0" w:line="29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1E17B3" w:rsidRPr="001E17B3" w:rsidRDefault="001E17B3" w:rsidP="001E17B3">
      <w:pPr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12" w:name="dst100013"/>
      <w:bookmarkEnd w:id="12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Действительный</w:t>
      </w:r>
    </w:p>
    <w:p w:rsidR="001E17B3" w:rsidRPr="001E17B3" w:rsidRDefault="001E17B3" w:rsidP="001E17B3">
      <w:pPr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государственный советник</w:t>
      </w:r>
    </w:p>
    <w:p w:rsidR="001E17B3" w:rsidRPr="001E17B3" w:rsidRDefault="001E17B3" w:rsidP="001E17B3">
      <w:pPr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Российской Федерации</w:t>
      </w:r>
    </w:p>
    <w:p w:rsidR="001E17B3" w:rsidRPr="001E17B3" w:rsidRDefault="001E17B3" w:rsidP="001E17B3">
      <w:pPr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 класса</w:t>
      </w:r>
    </w:p>
    <w:p w:rsidR="001E17B3" w:rsidRPr="001E17B3" w:rsidRDefault="001E17B3" w:rsidP="001E17B3">
      <w:pPr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С.Л.БОНДАРЧУК</w:t>
      </w:r>
    </w:p>
    <w:p w:rsidR="001E17B3" w:rsidRPr="001E17B3" w:rsidRDefault="001E17B3" w:rsidP="001E17B3">
      <w:pPr>
        <w:spacing w:after="0" w:line="29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1E17B3" w:rsidRPr="001E17B3" w:rsidRDefault="001E17B3" w:rsidP="001E17B3">
      <w:pPr>
        <w:spacing w:after="0" w:line="29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1E17B3" w:rsidRPr="001E17B3" w:rsidRDefault="001E17B3" w:rsidP="001E17B3">
      <w:pPr>
        <w:spacing w:after="0" w:line="29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dst100014"/>
      <w:bookmarkEnd w:id="13"/>
      <w:r w:rsidRPr="001E17B3">
        <w:rPr>
          <w:rFonts w:ascii="Arial" w:eastAsia="Times New Roman" w:hAnsi="Arial" w:cs="Arial"/>
          <w:color w:val="333333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FB076C" w:rsidRDefault="00FB076C">
      <w:bookmarkStart w:id="14" w:name="_GoBack"/>
      <w:bookmarkEnd w:id="14"/>
    </w:p>
    <w:sectPr w:rsidR="00FB0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18F"/>
    <w:rsid w:val="001E17B3"/>
    <w:rsid w:val="0036218F"/>
    <w:rsid w:val="00FB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6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1156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82118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6996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753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1270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9239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3934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6629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1434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775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80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1681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2797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8872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104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449628">
              <w:marLeft w:val="0"/>
              <w:marRight w:val="0"/>
              <w:marTop w:val="480"/>
              <w:marBottom w:val="0"/>
              <w:divBdr>
                <w:top w:val="single" w:sz="6" w:space="6" w:color="FFE3C2"/>
                <w:left w:val="single" w:sz="6" w:space="8" w:color="FFE3C2"/>
                <w:bottom w:val="single" w:sz="6" w:space="6" w:color="FFE3C2"/>
                <w:right w:val="single" w:sz="6" w:space="8" w:color="FFE3C2"/>
              </w:divBdr>
              <w:divsChild>
                <w:div w:id="838272979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</w:div>
              </w:divsChild>
            </w:div>
          </w:divsChild>
        </w:div>
        <w:div w:id="160245222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910644">
          <w:marLeft w:val="0"/>
          <w:marRight w:val="0"/>
          <w:marTop w:val="0"/>
          <w:marBottom w:val="0"/>
          <w:divBdr>
            <w:top w:val="single" w:sz="6" w:space="24" w:color="F1F1F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6410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895082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61/c03008a92ccba28226abe4034e9aa43e3a2ffeb4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42361/c03008a92ccba28226abe4034e9aa43e3a2ffeb4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42361/f4ff102a9228a8dad12c831ba03c457000a62d3c/" TargetMode="External"/><Relationship Id="rId11" Type="http://schemas.openxmlformats.org/officeDocument/2006/relationships/hyperlink" Target="http://www.consultant.ru/document/cons_doc_LAW_342361/f4ff102a9228a8dad12c831ba03c457000a62d3c/" TargetMode="External"/><Relationship Id="rId5" Type="http://schemas.openxmlformats.org/officeDocument/2006/relationships/hyperlink" Target="http://www.consultant.ru/document/cons_doc_LAW_342361/c03008a92ccba28226abe4034e9aa43e3a2ffeb4/" TargetMode="External"/><Relationship Id="rId10" Type="http://schemas.openxmlformats.org/officeDocument/2006/relationships/hyperlink" Target="http://www.consultant.ru/document/cons_doc_LAW_342361/61cf20d6fef78624729113dab2aad81847aa701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42361/c03008a92ccba28226abe4034e9aa43e3a2ffeb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645</Words>
  <Characters>3678</Characters>
  <Application>Microsoft Office Word</Application>
  <DocSecurity>0</DocSecurity>
  <Lines>30</Lines>
  <Paragraphs>8</Paragraphs>
  <ScaleCrop>false</ScaleCrop>
  <Company>Krokoz™</Company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Илая</dc:creator>
  <cp:keywords/>
  <dc:description/>
  <cp:lastModifiedBy>Елена Илая</cp:lastModifiedBy>
  <cp:revision>3</cp:revision>
  <dcterms:created xsi:type="dcterms:W3CDTF">2020-03-18T13:14:00Z</dcterms:created>
  <dcterms:modified xsi:type="dcterms:W3CDTF">2020-03-18T13:15:00Z</dcterms:modified>
</cp:coreProperties>
</file>